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C6" w:rsidRPr="003126C6" w:rsidRDefault="003126C6" w:rsidP="003126C6">
      <w:pPr>
        <w:spacing w:after="0" w:line="240" w:lineRule="auto"/>
        <w:jc w:val="center"/>
        <w:rPr>
          <w:rFonts w:ascii="Arial" w:eastAsia="Times New Roman" w:hAnsi="Arial" w:cs="Arial"/>
          <w:color w:val="000000"/>
          <w:sz w:val="18"/>
          <w:szCs w:val="18"/>
          <w:lang w:eastAsia="es-CO"/>
        </w:rPr>
      </w:pPr>
      <w:bookmarkStart w:id="0" w:name="bookmark0"/>
      <w:r w:rsidRPr="003126C6">
        <w:rPr>
          <w:rFonts w:ascii="Segoe UI" w:eastAsia="Times New Roman" w:hAnsi="Segoe UI" w:cs="Segoe UI"/>
          <w:b/>
          <w:bCs/>
          <w:color w:val="0000FF"/>
          <w:sz w:val="28"/>
          <w:szCs w:val="28"/>
          <w:lang w:val="es-ES" w:eastAsia="es-CO"/>
        </w:rPr>
        <w:t>Concepto N° 271</w:t>
      </w:r>
      <w:bookmarkEnd w:id="0"/>
    </w:p>
    <w:p w:rsidR="003126C6" w:rsidRPr="003126C6" w:rsidRDefault="003126C6" w:rsidP="003126C6">
      <w:pPr>
        <w:spacing w:after="0" w:line="240" w:lineRule="auto"/>
        <w:jc w:val="center"/>
        <w:rPr>
          <w:rFonts w:ascii="Arial" w:eastAsia="Times New Roman" w:hAnsi="Arial" w:cs="Arial"/>
          <w:color w:val="000000"/>
          <w:sz w:val="18"/>
          <w:szCs w:val="18"/>
          <w:lang w:eastAsia="es-CO"/>
        </w:rPr>
      </w:pPr>
      <w:r w:rsidRPr="003126C6">
        <w:rPr>
          <w:rFonts w:ascii="Segoe UI" w:eastAsia="Times New Roman" w:hAnsi="Segoe UI" w:cs="Segoe UI"/>
          <w:b/>
          <w:bCs/>
          <w:color w:val="0000FF"/>
          <w:sz w:val="28"/>
          <w:szCs w:val="28"/>
          <w:lang w:val="es-ES" w:eastAsia="es-CO"/>
        </w:rPr>
        <w:t>07-05-2015</w:t>
      </w:r>
    </w:p>
    <w:p w:rsidR="003126C6" w:rsidRPr="003126C6" w:rsidRDefault="003126C6" w:rsidP="003126C6">
      <w:pPr>
        <w:spacing w:after="0" w:line="240" w:lineRule="auto"/>
        <w:jc w:val="center"/>
        <w:rPr>
          <w:rFonts w:ascii="Arial" w:eastAsia="Times New Roman" w:hAnsi="Arial" w:cs="Arial"/>
          <w:color w:val="000000"/>
          <w:sz w:val="18"/>
          <w:szCs w:val="18"/>
          <w:lang w:eastAsia="es-CO"/>
        </w:rPr>
      </w:pPr>
      <w:r w:rsidRPr="003126C6">
        <w:rPr>
          <w:rFonts w:ascii="Segoe UI" w:eastAsia="Times New Roman" w:hAnsi="Segoe UI" w:cs="Segoe UI"/>
          <w:b/>
          <w:bCs/>
          <w:color w:val="0000FF"/>
          <w:sz w:val="28"/>
          <w:szCs w:val="28"/>
          <w:lang w:val="es-ES" w:eastAsia="es-CO"/>
        </w:rPr>
        <w:t>Consejo Técnico de la Contaduría Pública</w:t>
      </w:r>
    </w:p>
    <w:p w:rsidR="003126C6" w:rsidRPr="003126C6" w:rsidRDefault="003126C6" w:rsidP="003126C6">
      <w:pPr>
        <w:spacing w:after="0" w:line="240" w:lineRule="auto"/>
        <w:jc w:val="center"/>
        <w:rPr>
          <w:rFonts w:ascii="Arial" w:eastAsia="Times New Roman" w:hAnsi="Arial" w:cs="Arial"/>
          <w:color w:val="000000"/>
          <w:sz w:val="18"/>
          <w:szCs w:val="18"/>
          <w:lang w:eastAsia="es-CO"/>
        </w:rPr>
      </w:pPr>
      <w:r w:rsidRPr="003126C6">
        <w:rPr>
          <w:rFonts w:ascii="Segoe UI" w:eastAsia="Times New Roman" w:hAnsi="Segoe UI" w:cs="Segoe UI"/>
          <w:b/>
          <w:bCs/>
          <w:color w:val="0000FF"/>
          <w:sz w:val="28"/>
          <w:szCs w:val="28"/>
          <w:lang w:val="es-ES" w:eastAsia="es-CO"/>
        </w:rPr>
        <w:t> </w:t>
      </w:r>
    </w:p>
    <w:p w:rsidR="003126C6" w:rsidRPr="003126C6" w:rsidRDefault="003126C6" w:rsidP="003126C6">
      <w:pPr>
        <w:spacing w:after="0" w:line="240" w:lineRule="auto"/>
        <w:jc w:val="center"/>
        <w:rPr>
          <w:rFonts w:ascii="Arial" w:eastAsia="Times New Roman" w:hAnsi="Arial" w:cs="Arial"/>
          <w:color w:val="000000"/>
          <w:sz w:val="18"/>
          <w:szCs w:val="18"/>
          <w:lang w:eastAsia="es-CO"/>
        </w:rPr>
      </w:pPr>
      <w:r w:rsidRPr="003126C6">
        <w:rPr>
          <w:rFonts w:ascii="Segoe UI" w:eastAsia="Times New Roman" w:hAnsi="Segoe UI" w:cs="Segoe UI"/>
          <w:b/>
          <w:bCs/>
          <w:color w:val="0000FF"/>
          <w:sz w:val="28"/>
          <w:szCs w:val="28"/>
          <w:lang w:val="es-ES"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Bogotá D.C.</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Señor</w:t>
      </w:r>
      <w:bookmarkStart w:id="1" w:name="bookmark1"/>
      <w:bookmarkEnd w:id="1"/>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b/>
          <w:bCs/>
          <w:color w:val="000000"/>
          <w:sz w:val="18"/>
          <w:szCs w:val="18"/>
          <w:lang w:val="de-DE" w:eastAsia="es-CO"/>
        </w:rPr>
        <w:t>WILDER </w:t>
      </w:r>
      <w:r w:rsidRPr="003126C6">
        <w:rPr>
          <w:rFonts w:ascii="Segoe UI" w:eastAsia="Times New Roman" w:hAnsi="Segoe UI" w:cs="Segoe UI"/>
          <w:b/>
          <w:bCs/>
          <w:color w:val="000000"/>
          <w:sz w:val="18"/>
          <w:szCs w:val="18"/>
          <w:lang w:val="es-ES" w:eastAsia="es-CO"/>
        </w:rPr>
        <w:t xml:space="preserve">QUINTERO </w:t>
      </w:r>
      <w:proofErr w:type="spellStart"/>
      <w:r w:rsidRPr="003126C6">
        <w:rPr>
          <w:rFonts w:ascii="Segoe UI" w:eastAsia="Times New Roman" w:hAnsi="Segoe UI" w:cs="Segoe UI"/>
          <w:b/>
          <w:bCs/>
          <w:color w:val="000000"/>
          <w:sz w:val="18"/>
          <w:szCs w:val="18"/>
          <w:lang w:val="es-ES" w:eastAsia="es-CO"/>
        </w:rPr>
        <w:t>QUINTERO</w:t>
      </w:r>
      <w:proofErr w:type="spellEnd"/>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DIRECTOR PLAN DE ESTUDIO CONTADURÍA PÚBLICA JORNADA NOCTURNA</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UNIVERSIDAD FRANCISCO DE PAULA SANTANDER "OCAÑA"</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hyperlink r:id="rId4" w:history="1">
        <w:r w:rsidRPr="003126C6">
          <w:rPr>
            <w:rFonts w:ascii="Segoe UI" w:eastAsia="Times New Roman" w:hAnsi="Segoe UI" w:cs="Segoe UI"/>
            <w:color w:val="0089E1"/>
            <w:sz w:val="18"/>
            <w:szCs w:val="18"/>
            <w:lang w:eastAsia="es-CO"/>
          </w:rPr>
          <w:t>wquinteroa@ufpso.edu.co</w:t>
        </w:r>
      </w:hyperlink>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315-7249833</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2246"/>
        <w:gridCol w:w="4416"/>
      </w:tblGrid>
      <w:tr w:rsidR="003126C6" w:rsidRPr="003126C6" w:rsidTr="003126C6">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3126C6" w:rsidRPr="003126C6" w:rsidRDefault="003126C6" w:rsidP="003126C6">
            <w:pPr>
              <w:spacing w:after="0" w:line="240" w:lineRule="auto"/>
              <w:jc w:val="both"/>
              <w:rPr>
                <w:rFonts w:eastAsia="Times New Roman" w:cs="Times New Roman"/>
                <w:szCs w:val="24"/>
                <w:lang w:eastAsia="es-CO"/>
              </w:rPr>
            </w:pPr>
            <w:r w:rsidRPr="003126C6">
              <w:rPr>
                <w:rFonts w:ascii="Segoe UI" w:eastAsia="Times New Roman" w:hAnsi="Segoe UI" w:cs="Segoe UI"/>
                <w:b/>
                <w:bCs/>
                <w:sz w:val="20"/>
                <w:szCs w:val="20"/>
                <w:lang w:eastAsia="es-CO"/>
              </w:rPr>
              <w:t>REFERENCIA:</w:t>
            </w:r>
          </w:p>
        </w:tc>
      </w:tr>
      <w:tr w:rsidR="003126C6" w:rsidRPr="003126C6" w:rsidTr="003126C6">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3126C6" w:rsidRPr="003126C6" w:rsidRDefault="003126C6" w:rsidP="003126C6">
            <w:pPr>
              <w:spacing w:after="0" w:line="240" w:lineRule="auto"/>
              <w:jc w:val="both"/>
              <w:rPr>
                <w:rFonts w:eastAsia="Times New Roman" w:cs="Times New Roman"/>
                <w:szCs w:val="24"/>
                <w:lang w:eastAsia="es-CO"/>
              </w:rPr>
            </w:pPr>
            <w:r w:rsidRPr="003126C6">
              <w:rPr>
                <w:rFonts w:ascii="Segoe UI" w:eastAsia="Times New Roman" w:hAnsi="Segoe UI" w:cs="Segoe UI"/>
                <w:color w:val="000000"/>
                <w:sz w:val="20"/>
                <w:szCs w:val="20"/>
                <w:lang w:val="es-ES" w:eastAsia="es-CO"/>
              </w:rPr>
              <w:t>Fecha de Radicado</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3126C6" w:rsidRPr="003126C6" w:rsidRDefault="003126C6" w:rsidP="003126C6">
            <w:pPr>
              <w:spacing w:after="0" w:line="240" w:lineRule="auto"/>
              <w:jc w:val="both"/>
              <w:rPr>
                <w:rFonts w:eastAsia="Times New Roman" w:cs="Times New Roman"/>
                <w:szCs w:val="24"/>
                <w:lang w:eastAsia="es-CO"/>
              </w:rPr>
            </w:pPr>
            <w:r w:rsidRPr="003126C6">
              <w:rPr>
                <w:rFonts w:ascii="Segoe UI" w:eastAsia="Times New Roman" w:hAnsi="Segoe UI" w:cs="Segoe UI"/>
                <w:color w:val="000000"/>
                <w:sz w:val="20"/>
                <w:szCs w:val="20"/>
                <w:lang w:val="es-ES" w:eastAsia="es-CO"/>
              </w:rPr>
              <w:t>15 de 04 de 2015</w:t>
            </w:r>
          </w:p>
        </w:tc>
      </w:tr>
      <w:tr w:rsidR="003126C6" w:rsidRPr="003126C6" w:rsidTr="003126C6">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3126C6" w:rsidRPr="003126C6" w:rsidRDefault="003126C6" w:rsidP="003126C6">
            <w:pPr>
              <w:spacing w:after="0" w:line="240" w:lineRule="auto"/>
              <w:jc w:val="both"/>
              <w:rPr>
                <w:rFonts w:eastAsia="Times New Roman" w:cs="Times New Roman"/>
                <w:szCs w:val="24"/>
                <w:lang w:eastAsia="es-CO"/>
              </w:rPr>
            </w:pPr>
            <w:r w:rsidRPr="003126C6">
              <w:rPr>
                <w:rFonts w:ascii="Segoe UI" w:eastAsia="Times New Roman" w:hAnsi="Segoe UI" w:cs="Segoe UI"/>
                <w:color w:val="000000"/>
                <w:sz w:val="20"/>
                <w:szCs w:val="20"/>
                <w:lang w:val="es-ES" w:eastAsia="es-CO"/>
              </w:rPr>
              <w:t>Entidad de Origen</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3126C6" w:rsidRPr="003126C6" w:rsidRDefault="003126C6" w:rsidP="003126C6">
            <w:pPr>
              <w:spacing w:after="0" w:line="240" w:lineRule="auto"/>
              <w:jc w:val="both"/>
              <w:rPr>
                <w:rFonts w:eastAsia="Times New Roman" w:cs="Times New Roman"/>
                <w:szCs w:val="24"/>
                <w:lang w:eastAsia="es-CO"/>
              </w:rPr>
            </w:pPr>
            <w:r w:rsidRPr="003126C6">
              <w:rPr>
                <w:rFonts w:ascii="Segoe UI" w:eastAsia="Times New Roman" w:hAnsi="Segoe UI" w:cs="Segoe UI"/>
                <w:color w:val="000000"/>
                <w:sz w:val="20"/>
                <w:szCs w:val="20"/>
                <w:lang w:val="es-ES" w:eastAsia="es-CO"/>
              </w:rPr>
              <w:t>Consejo Técnico de la Contaduría Pública, CTCP</w:t>
            </w:r>
          </w:p>
        </w:tc>
      </w:tr>
      <w:tr w:rsidR="003126C6" w:rsidRPr="003126C6" w:rsidTr="003126C6">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3126C6" w:rsidRPr="003126C6" w:rsidRDefault="003126C6" w:rsidP="003126C6">
            <w:pPr>
              <w:spacing w:after="0" w:line="240" w:lineRule="auto"/>
              <w:jc w:val="both"/>
              <w:rPr>
                <w:rFonts w:eastAsia="Times New Roman" w:cs="Times New Roman"/>
                <w:szCs w:val="24"/>
                <w:lang w:eastAsia="es-CO"/>
              </w:rPr>
            </w:pPr>
            <w:r w:rsidRPr="003126C6">
              <w:rPr>
                <w:rFonts w:ascii="Segoe UI" w:eastAsia="Times New Roman" w:hAnsi="Segoe UI" w:cs="Segoe UI"/>
                <w:color w:val="000000"/>
                <w:sz w:val="20"/>
                <w:szCs w:val="20"/>
                <w:lang w:val="es-ES" w:eastAsia="es-CO"/>
              </w:rPr>
              <w:t>N° de Radicación CTCP</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3126C6" w:rsidRPr="003126C6" w:rsidRDefault="003126C6" w:rsidP="003126C6">
            <w:pPr>
              <w:spacing w:after="0" w:line="240" w:lineRule="auto"/>
              <w:jc w:val="both"/>
              <w:rPr>
                <w:rFonts w:eastAsia="Times New Roman" w:cs="Times New Roman"/>
                <w:szCs w:val="24"/>
                <w:lang w:eastAsia="es-CO"/>
              </w:rPr>
            </w:pPr>
            <w:r w:rsidRPr="003126C6">
              <w:rPr>
                <w:rFonts w:ascii="Segoe UI" w:eastAsia="Times New Roman" w:hAnsi="Segoe UI" w:cs="Segoe UI"/>
                <w:color w:val="000000"/>
                <w:sz w:val="20"/>
                <w:szCs w:val="20"/>
                <w:lang w:val="es-ES" w:eastAsia="es-CO"/>
              </w:rPr>
              <w:t>2015-271 CONSULTA</w:t>
            </w:r>
          </w:p>
        </w:tc>
      </w:tr>
      <w:tr w:rsidR="003126C6" w:rsidRPr="003126C6" w:rsidTr="003126C6">
        <w:tc>
          <w:tcPr>
            <w:tcW w:w="0" w:type="auto"/>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3126C6" w:rsidRPr="003126C6" w:rsidRDefault="003126C6" w:rsidP="003126C6">
            <w:pPr>
              <w:spacing w:after="0" w:line="240" w:lineRule="auto"/>
              <w:jc w:val="both"/>
              <w:rPr>
                <w:rFonts w:eastAsia="Times New Roman" w:cs="Times New Roman"/>
                <w:szCs w:val="24"/>
                <w:lang w:eastAsia="es-CO"/>
              </w:rPr>
            </w:pPr>
            <w:r w:rsidRPr="003126C6">
              <w:rPr>
                <w:rFonts w:ascii="Segoe UI" w:eastAsia="Times New Roman" w:hAnsi="Segoe UI" w:cs="Segoe UI"/>
                <w:color w:val="000000"/>
                <w:sz w:val="20"/>
                <w:szCs w:val="20"/>
                <w:lang w:val="es-ES" w:eastAsia="es-CO"/>
              </w:rPr>
              <w:t>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126C6" w:rsidRPr="003126C6" w:rsidRDefault="003126C6" w:rsidP="003126C6">
            <w:pPr>
              <w:spacing w:after="0" w:line="240" w:lineRule="auto"/>
              <w:jc w:val="both"/>
              <w:rPr>
                <w:rFonts w:eastAsia="Times New Roman" w:cs="Times New Roman"/>
                <w:szCs w:val="24"/>
                <w:lang w:eastAsia="es-CO"/>
              </w:rPr>
            </w:pPr>
            <w:r w:rsidRPr="003126C6">
              <w:rPr>
                <w:rFonts w:ascii="Segoe UI" w:eastAsia="Times New Roman" w:hAnsi="Segoe UI" w:cs="Segoe UI"/>
                <w:color w:val="000000"/>
                <w:sz w:val="20"/>
                <w:szCs w:val="20"/>
                <w:lang w:val="es-ES" w:eastAsia="es-CO"/>
              </w:rPr>
              <w:t>Cartillas de NIIF</w:t>
            </w:r>
          </w:p>
        </w:tc>
      </w:tr>
    </w:tbl>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El Consejo Técnico de la Contaduría Pública en su carácter de organismo gubernamental de normalización técnica de normas contables, de información financiera y de aseguramiento de la información, atendiendo a lo dispuesto en la artículo 23 (SIC) de la Constitución Política de Colombia, el artículo 13 y subsiguientes de la Ley 1437 de 2011 y el numeral 3° del artículo 33 de la Ley 43 de 1990, procede a responder una consulta.</w:t>
      </w:r>
      <w:bookmarkStart w:id="2" w:name="bookmark2"/>
      <w:bookmarkEnd w:id="2"/>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b/>
          <w:bCs/>
          <w:color w:val="000000"/>
          <w:sz w:val="18"/>
          <w:szCs w:val="18"/>
          <w:lang w:val="es-ES" w:eastAsia="es-CO"/>
        </w:rPr>
        <w:t>CONSULTA (TEXTUAL)</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b/>
          <w:bCs/>
          <w:color w:val="000000"/>
          <w:sz w:val="18"/>
          <w:szCs w:val="18"/>
          <w:lang w:val="es-ES"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i/>
          <w:iCs/>
          <w:color w:val="000000"/>
          <w:sz w:val="18"/>
          <w:szCs w:val="18"/>
          <w:lang w:val="es-ES" w:eastAsia="es-CO"/>
        </w:rPr>
        <w:t>Somos el programa de Contaduría Pública de la Universidad Francisco de Paula Santander seccional Ocaña (UFPSO), el motivo de la presente es poder obtener la “cartilla" para la adopción de las Normas Internacionales de Información Financiera (NIIF) en los programas de Contaduría Pública, ya que nuestro programa tiene el firme propósito de impartir en las aulas de clase todo lo concernientes (SIC) a esta importante norma establecidas a nivel mundial.</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i/>
          <w:iCs/>
          <w:color w:val="000000"/>
          <w:sz w:val="18"/>
          <w:szCs w:val="18"/>
          <w:lang w:val="es-ES" w:eastAsia="es-CO"/>
        </w:rPr>
        <w:t>De acuerdo a lo planteado anteriormente queremos conocer el proceso para poder adquirir dicha cartilla para ajustar nuestro plan de estudios con lo correspondiente a las NIIF.</w:t>
      </w:r>
      <w:bookmarkStart w:id="3" w:name="bookmark3"/>
      <w:bookmarkEnd w:id="3"/>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i/>
          <w:iCs/>
          <w:color w:val="000000"/>
          <w:sz w:val="18"/>
          <w:szCs w:val="18"/>
          <w:lang w:val="es-ES"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b/>
          <w:bCs/>
          <w:color w:val="000000"/>
          <w:sz w:val="18"/>
          <w:szCs w:val="18"/>
          <w:lang w:val="es-ES" w:eastAsia="es-CO"/>
        </w:rPr>
        <w:t>CONSIDERACIONES Y RESPUESTA</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b/>
          <w:bCs/>
          <w:color w:val="000000"/>
          <w:sz w:val="18"/>
          <w:szCs w:val="18"/>
          <w:lang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Dentro del carácter ya indicado, las respuestas del CTCP son de naturaleza general y abstracta, dado que su misión no consiste en resolver problemas específicos que correspondan a un caso particular.</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En orden a los planteamientos e inquietudes del consultante, nos permitimos señalar:</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No hay una cartilla específica que muestre toda la normatividad NIIF en Colombia. Cada universidad, institución universitaria, etc., deberá conformar sus programas académicos teniendo en cuenta la normatividad vigente en temas de información financiera y de aseguramiento de la información.</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Las normas NIF aplicables a los grupos 1, 2, y 3 aparecen en la página </w:t>
      </w:r>
      <w:hyperlink r:id="rId5" w:history="1">
        <w:r w:rsidRPr="003126C6">
          <w:rPr>
            <w:rFonts w:ascii="Segoe UI" w:eastAsia="Times New Roman" w:hAnsi="Segoe UI" w:cs="Segoe UI"/>
            <w:color w:val="0089E1"/>
            <w:sz w:val="18"/>
            <w:szCs w:val="18"/>
            <w:lang w:eastAsia="es-CO"/>
          </w:rPr>
          <w:t>www.ctcp.gov.co</w:t>
        </w:r>
      </w:hyperlink>
      <w:r w:rsidRPr="003126C6">
        <w:rPr>
          <w:rFonts w:ascii="Segoe UI" w:eastAsia="Times New Roman" w:hAnsi="Segoe UI" w:cs="Segoe UI"/>
          <w:color w:val="000000"/>
          <w:sz w:val="18"/>
          <w:szCs w:val="18"/>
          <w:lang w:val="en-US" w:eastAsia="es-CO"/>
        </w:rPr>
        <w:t>, </w:t>
      </w:r>
      <w:r w:rsidRPr="003126C6">
        <w:rPr>
          <w:rFonts w:ascii="Segoe UI" w:eastAsia="Times New Roman" w:hAnsi="Segoe UI" w:cs="Segoe UI"/>
          <w:color w:val="000000"/>
          <w:sz w:val="18"/>
          <w:szCs w:val="18"/>
          <w:lang w:val="es-ES" w:eastAsia="es-CO"/>
        </w:rPr>
        <w:t>enlaces, NIIF y NAI y en Normativa donde encontrará leyes, decretos y demás sobre las NIF en Colombia.</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A continuación se encuentra un resumen de las leyes, decretos y resoluciones referidos al tema. Este no contempla las resoluciones de las superintendencias frente al tema.</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val="es-ES" w:eastAsia="es-CO"/>
        </w:rPr>
        <w:t> </w:t>
      </w:r>
    </w:p>
    <w:tbl>
      <w:tblPr>
        <w:tblW w:w="0" w:type="auto"/>
        <w:jc w:val="center"/>
        <w:tblCellMar>
          <w:left w:w="0" w:type="dxa"/>
          <w:right w:w="0" w:type="dxa"/>
        </w:tblCellMar>
        <w:tblLook w:val="04A0" w:firstRow="1" w:lastRow="0" w:firstColumn="1" w:lastColumn="0" w:noHBand="0" w:noVBand="1"/>
      </w:tblPr>
      <w:tblGrid>
        <w:gridCol w:w="1507"/>
        <w:gridCol w:w="966"/>
        <w:gridCol w:w="1168"/>
        <w:gridCol w:w="1168"/>
        <w:gridCol w:w="966"/>
        <w:gridCol w:w="966"/>
        <w:gridCol w:w="966"/>
        <w:gridCol w:w="1113"/>
      </w:tblGrid>
      <w:tr w:rsidR="003126C6" w:rsidRPr="003126C6" w:rsidTr="003126C6">
        <w:trPr>
          <w:jc w:val="center"/>
        </w:trP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b/>
                <w:bCs/>
                <w:sz w:val="20"/>
                <w:szCs w:val="20"/>
                <w:lang w:val="es-ES" w:eastAsia="es-CO"/>
              </w:rPr>
              <w:t>TODOS</w:t>
            </w:r>
          </w:p>
        </w:tc>
        <w:tc>
          <w:tcPr>
            <w:tcW w:w="85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b/>
                <w:bCs/>
                <w:sz w:val="20"/>
                <w:szCs w:val="20"/>
                <w:lang w:val="es-ES" w:eastAsia="es-CO"/>
              </w:rPr>
              <w:t>G1</w:t>
            </w:r>
          </w:p>
        </w:tc>
        <w:tc>
          <w:tcPr>
            <w:tcW w:w="82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b/>
                <w:bCs/>
                <w:sz w:val="20"/>
                <w:szCs w:val="20"/>
                <w:lang w:val="es-ES" w:eastAsia="es-CO"/>
              </w:rPr>
              <w:t>G2</w:t>
            </w:r>
          </w:p>
        </w:tc>
        <w:tc>
          <w:tcPr>
            <w:tcW w:w="88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b/>
                <w:bCs/>
                <w:sz w:val="20"/>
                <w:szCs w:val="20"/>
                <w:lang w:val="es-ES" w:eastAsia="es-CO"/>
              </w:rPr>
              <w:t>G3</w:t>
            </w:r>
          </w:p>
        </w:tc>
        <w:tc>
          <w:tcPr>
            <w:tcW w:w="85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b/>
                <w:bCs/>
                <w:sz w:val="20"/>
                <w:szCs w:val="20"/>
                <w:lang w:val="es-ES" w:eastAsia="es-CO"/>
              </w:rPr>
              <w:t>NAI</w:t>
            </w:r>
          </w:p>
        </w:tc>
        <w:tc>
          <w:tcPr>
            <w:tcW w:w="113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b/>
                <w:bCs/>
                <w:sz w:val="20"/>
                <w:szCs w:val="20"/>
                <w:lang w:val="es-ES" w:eastAsia="es-CO"/>
              </w:rPr>
              <w:t>TRIBUT</w:t>
            </w:r>
          </w:p>
        </w:tc>
        <w:tc>
          <w:tcPr>
            <w:tcW w:w="124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b/>
                <w:bCs/>
                <w:sz w:val="20"/>
                <w:szCs w:val="20"/>
                <w:lang w:val="es-ES" w:eastAsia="es-CO"/>
              </w:rPr>
              <w:t>SEC</w:t>
            </w:r>
          </w:p>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b/>
                <w:bCs/>
                <w:sz w:val="20"/>
                <w:szCs w:val="20"/>
                <w:lang w:val="es-ES" w:eastAsia="es-CO"/>
              </w:rPr>
              <w:t>PUBLICO</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Adopción de las normas internacionale</w:t>
            </w:r>
            <w:r w:rsidRPr="003126C6">
              <w:rPr>
                <w:rFonts w:ascii="Segoe UI" w:eastAsia="Times New Roman" w:hAnsi="Segoe UI" w:cs="Segoe UI"/>
                <w:sz w:val="20"/>
                <w:szCs w:val="20"/>
                <w:lang w:val="es-ES" w:eastAsia="es-CO"/>
              </w:rPr>
              <w:lastRenderedPageBreak/>
              <w:t>s de contabilidad en Colombia.</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lastRenderedPageBreak/>
              <w:t>L 1314</w:t>
            </w:r>
          </w:p>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13/07/09</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lastRenderedPageBreak/>
              <w:t>Aplicación voluntaria de las Normas Internacionales de Contabilidad.</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4946 30/12/11</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Modifica D 4946 Aplicación voluntaria de las Normas Internacionales de Contabilidad.</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403 21/02/12</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Modifica D 4946 Aplicación voluntaria de las Normas Internacionales de Contabilidad.</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1618 31/07/12</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Reglamenta Ley 1314, marco técnico normativo para los preparadores de información financiera que conforman el Grupo Microempresas (3)</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2706 27/12/12</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Reglamenta Ley 1314 marco técnico normativo para los preparadores de información financiera que conforman el Grupo 1.</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2784 28/12/12</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 xml:space="preserve">Reglamenta Ley 1314 marco técnico normativo para los preparadores de </w:t>
            </w:r>
            <w:r w:rsidRPr="003126C6">
              <w:rPr>
                <w:rFonts w:ascii="Segoe UI" w:eastAsia="Times New Roman" w:hAnsi="Segoe UI" w:cs="Segoe UI"/>
                <w:sz w:val="20"/>
                <w:szCs w:val="20"/>
                <w:lang w:val="es-ES" w:eastAsia="es-CO"/>
              </w:rPr>
              <w:lastRenderedPageBreak/>
              <w:t>información financiera que conforman el Grupo 1.</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lastRenderedPageBreak/>
              <w:t> </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1851 29/08/13</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lastRenderedPageBreak/>
              <w:t>Modifica el D 2706 marco técnico normativo para los preparadores de información financiera que conforman el Grupo Microempresas (3)</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3019 27/12/13</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Modifica el D 2706 marco técnico normativo para los preparadores de información financiera que conforman el Grupo 2</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3022 2013</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Modifica el D 2784 marco técnico normativo para los preparadores de información financiera que conforman el Grupo 1</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3023 27/12/13</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trHeight w:val="2409"/>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Modifica el D 2784 marco técnico normativo para los preparadores de información financiera que conforman el Grupo 1</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3024 28/12/13</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Modifica D 3022 Plazo cambio voluntario al grupo 1</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2129 24/10/14</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lastRenderedPageBreak/>
              <w:t>Modificación al Decreto 1851 y 3022 Excepciones para el sector financiero</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2267 11/11/2014</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2267 11/11/2014</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Art. 165 Plazo para modificaciones tributarias en relación con adopción NIIF en Colombia</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L 1607 26/12/14</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Reglamenta Art 4° Ley 1314, Art. 165 Ley 1607 de 2012 y Art </w:t>
            </w:r>
            <w:hyperlink r:id="rId6" w:tooltip="Estatuto Tributario CETA" w:history="1">
              <w:r w:rsidRPr="003126C6">
                <w:rPr>
                  <w:rFonts w:ascii="Segoe UI" w:eastAsia="Times New Roman" w:hAnsi="Segoe UI" w:cs="Segoe UI"/>
                  <w:color w:val="0089E1"/>
                  <w:sz w:val="20"/>
                  <w:szCs w:val="20"/>
                  <w:lang w:val="es-ES" w:eastAsia="es-CO"/>
                </w:rPr>
                <w:t>773</w:t>
              </w:r>
            </w:hyperlink>
            <w:r w:rsidRPr="003126C6">
              <w:rPr>
                <w:rFonts w:ascii="Segoe UI" w:eastAsia="Times New Roman" w:hAnsi="Segoe UI" w:cs="Segoe UI"/>
                <w:sz w:val="20"/>
                <w:szCs w:val="20"/>
                <w:lang w:val="es-ES" w:eastAsia="es-CO"/>
              </w:rPr>
              <w:t> y </w:t>
            </w:r>
            <w:hyperlink r:id="rId7" w:tooltip="Estatuto Tributario CETA" w:history="1">
              <w:r w:rsidRPr="003126C6">
                <w:rPr>
                  <w:rFonts w:ascii="Segoe UI" w:eastAsia="Times New Roman" w:hAnsi="Segoe UI" w:cs="Segoe UI"/>
                  <w:color w:val="0089E1"/>
                  <w:sz w:val="20"/>
                  <w:szCs w:val="20"/>
                  <w:lang w:val="es-ES" w:eastAsia="es-CO"/>
                </w:rPr>
                <w:t>774</w:t>
              </w:r>
            </w:hyperlink>
            <w:r w:rsidRPr="003126C6">
              <w:rPr>
                <w:rFonts w:ascii="Segoe UI" w:eastAsia="Times New Roman" w:hAnsi="Segoe UI" w:cs="Segoe UI"/>
                <w:sz w:val="20"/>
                <w:szCs w:val="20"/>
                <w:lang w:val="es-ES" w:eastAsia="es-CO"/>
              </w:rPr>
              <w:t>ET Plazo para modificaciones tributarias en relación con adopción NIIF en Colombia</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2548 12/12/14</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Modificación al Decreto 2784 y 3023 adopción libro rojo de NIIF 2014</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2615 17/12/2014</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Adopción de las Normas de Auditoria en Colombia</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D 302 20/02/15</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r>
      <w:tr w:rsidR="003126C6" w:rsidRPr="003126C6" w:rsidTr="003126C6">
        <w:trPr>
          <w:jc w:val="center"/>
        </w:trPr>
        <w:tc>
          <w:tcPr>
            <w:tcW w:w="20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Adopción de las IPSAS en Colombia</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8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1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eastAsia="es-CO"/>
              </w:rPr>
              <w:t> </w:t>
            </w:r>
          </w:p>
        </w:tc>
        <w:tc>
          <w:tcPr>
            <w:tcW w:w="12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Resolución</w:t>
            </w:r>
          </w:p>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414</w:t>
            </w:r>
          </w:p>
          <w:p w:rsidR="003126C6" w:rsidRPr="003126C6" w:rsidRDefault="003126C6" w:rsidP="003126C6">
            <w:pPr>
              <w:spacing w:after="0" w:line="240" w:lineRule="auto"/>
              <w:jc w:val="center"/>
              <w:rPr>
                <w:rFonts w:eastAsia="Times New Roman" w:cs="Times New Roman"/>
                <w:szCs w:val="24"/>
                <w:lang w:eastAsia="es-CO"/>
              </w:rPr>
            </w:pPr>
            <w:r w:rsidRPr="003126C6">
              <w:rPr>
                <w:rFonts w:ascii="Segoe UI" w:eastAsia="Times New Roman" w:hAnsi="Segoe UI" w:cs="Segoe UI"/>
                <w:sz w:val="20"/>
                <w:szCs w:val="20"/>
                <w:lang w:val="es-ES" w:eastAsia="es-CO"/>
              </w:rPr>
              <w:t>08/09/14</w:t>
            </w:r>
          </w:p>
        </w:tc>
      </w:tr>
    </w:tbl>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eastAsia="es-CO"/>
        </w:rPr>
        <w:t>Para el estudio de la norma de Pymes, que se incorporaron en el marco técnico del Decreto 3022 de 2013, el material de estudio preparado para el IASB, al cual puede acceder de manera gratuita en </w:t>
      </w:r>
      <w:hyperlink r:id="rId8" w:history="1">
        <w:r w:rsidRPr="003126C6">
          <w:rPr>
            <w:rFonts w:ascii="Segoe UI" w:eastAsia="Times New Roman" w:hAnsi="Segoe UI" w:cs="Segoe UI"/>
            <w:color w:val="0089E1"/>
            <w:sz w:val="18"/>
            <w:szCs w:val="18"/>
            <w:lang w:eastAsia="es-CO"/>
          </w:rPr>
          <w:t>http://www.ifrs.org/IFRS-for-SMEs/Pages/Training-material.aspx</w:t>
        </w:r>
      </w:hyperlink>
      <w:r w:rsidRPr="003126C6">
        <w:rPr>
          <w:rFonts w:ascii="Segoe UI" w:eastAsia="Times New Roman" w:hAnsi="Segoe UI" w:cs="Segoe UI"/>
          <w:color w:val="000000"/>
          <w:sz w:val="18"/>
          <w:szCs w:val="18"/>
          <w:lang w:eastAsia="es-CO"/>
        </w:rPr>
        <w:t>, podría ser útil para adquirir competencias en el conocimiento, comprensión y aplicación de esta norma.</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eastAsia="es-CO"/>
        </w:rPr>
        <w:t> </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eastAsia="es-CO"/>
        </w:rPr>
        <w:t>Cordialmente,</w:t>
      </w:r>
    </w:p>
    <w:p w:rsidR="003126C6" w:rsidRPr="003126C6" w:rsidRDefault="003126C6" w:rsidP="003126C6">
      <w:pPr>
        <w:spacing w:after="0" w:line="240" w:lineRule="auto"/>
        <w:jc w:val="both"/>
        <w:rPr>
          <w:rFonts w:ascii="Arial" w:eastAsia="Times New Roman" w:hAnsi="Arial" w:cs="Arial"/>
          <w:color w:val="000000"/>
          <w:sz w:val="18"/>
          <w:szCs w:val="18"/>
          <w:lang w:eastAsia="es-CO"/>
        </w:rPr>
      </w:pPr>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b/>
          <w:bCs/>
          <w:color w:val="000000"/>
          <w:sz w:val="18"/>
          <w:szCs w:val="18"/>
          <w:lang w:eastAsia="es-CO"/>
        </w:rPr>
        <w:t xml:space="preserve">WILMAR FRANCO </w:t>
      </w:r>
      <w:proofErr w:type="spellStart"/>
      <w:r w:rsidRPr="003126C6">
        <w:rPr>
          <w:rFonts w:ascii="Segoe UI" w:eastAsia="Times New Roman" w:hAnsi="Segoe UI" w:cs="Segoe UI"/>
          <w:b/>
          <w:bCs/>
          <w:color w:val="000000"/>
          <w:sz w:val="18"/>
          <w:szCs w:val="18"/>
          <w:lang w:eastAsia="es-CO"/>
        </w:rPr>
        <w:t>FRANCO</w:t>
      </w:r>
      <w:proofErr w:type="spellEnd"/>
    </w:p>
    <w:p w:rsidR="003126C6" w:rsidRPr="003126C6" w:rsidRDefault="003126C6" w:rsidP="003126C6">
      <w:pPr>
        <w:spacing w:after="0" w:line="240" w:lineRule="auto"/>
        <w:jc w:val="both"/>
        <w:rPr>
          <w:rFonts w:ascii="Arial" w:eastAsia="Times New Roman" w:hAnsi="Arial" w:cs="Arial"/>
          <w:color w:val="000000"/>
          <w:sz w:val="18"/>
          <w:szCs w:val="18"/>
          <w:lang w:eastAsia="es-CO"/>
        </w:rPr>
      </w:pPr>
      <w:r w:rsidRPr="003126C6">
        <w:rPr>
          <w:rFonts w:ascii="Segoe UI" w:eastAsia="Times New Roman" w:hAnsi="Segoe UI" w:cs="Segoe UI"/>
          <w:color w:val="000000"/>
          <w:sz w:val="18"/>
          <w:szCs w:val="18"/>
          <w:lang w:eastAsia="es-CO"/>
        </w:rPr>
        <w:t>Presidente</w:t>
      </w:r>
    </w:p>
    <w:p w:rsidR="003126C6" w:rsidRPr="003126C6" w:rsidRDefault="003126C6" w:rsidP="003126C6">
      <w:pPr>
        <w:spacing w:after="285" w:line="240" w:lineRule="auto"/>
        <w:jc w:val="both"/>
        <w:rPr>
          <w:rFonts w:ascii="Arial" w:eastAsia="Times New Roman" w:hAnsi="Arial" w:cs="Arial"/>
          <w:color w:val="000000"/>
          <w:sz w:val="18"/>
          <w:szCs w:val="18"/>
          <w:lang w:eastAsia="es-CO"/>
        </w:rPr>
      </w:pPr>
      <w:r w:rsidRPr="003126C6">
        <w:rPr>
          <w:rFonts w:ascii="Arial" w:eastAsia="Times New Roman" w:hAnsi="Arial" w:cs="Arial"/>
          <w:color w:val="000000"/>
          <w:sz w:val="18"/>
          <w:szCs w:val="18"/>
          <w:lang w:eastAsia="es-CO"/>
        </w:rPr>
        <w:t> </w:t>
      </w:r>
      <w:bookmarkStart w:id="4" w:name="_GoBack"/>
      <w:bookmarkEnd w:id="4"/>
    </w:p>
    <w:sectPr w:rsidR="003126C6" w:rsidRPr="003126C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C6"/>
    <w:rsid w:val="0029351E"/>
    <w:rsid w:val="003126C6"/>
    <w:rsid w:val="005F6EB7"/>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DE7DF-8FCD-4884-B0F7-E8FA48A7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IFRS-for-SMEs/Pages/Training-material.aspx"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9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961" TargetMode="External"/><Relationship Id="rId5" Type="http://schemas.openxmlformats.org/officeDocument/2006/relationships/hyperlink" Target="http://www.ctcp.gov.co/" TargetMode="External"/><Relationship Id="rId10" Type="http://schemas.openxmlformats.org/officeDocument/2006/relationships/theme" Target="theme/theme1.xml"/><Relationship Id="rId4" Type="http://schemas.openxmlformats.org/officeDocument/2006/relationships/hyperlink" Target="mailto:wquinteroa@ufpso.edu.c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930</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2015-06-11T13:17:00Z</dcterms:created>
  <dcterms:modified xsi:type="dcterms:W3CDTF">2015-06-11T13:32:00Z</dcterms:modified>
</cp:coreProperties>
</file>